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98" w:rsidRPr="007D11A8" w:rsidRDefault="002F7798" w:rsidP="004536C8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D11A8">
        <w:rPr>
          <w:rFonts w:ascii="Arial" w:hAnsi="Arial" w:cs="Arial"/>
          <w:sz w:val="22"/>
          <w:szCs w:val="22"/>
        </w:rPr>
        <w:t xml:space="preserve">The Queensland College of Teachers is a statutory body established by the </w:t>
      </w:r>
      <w:r w:rsidRPr="007D11A8">
        <w:rPr>
          <w:rFonts w:ascii="Arial" w:hAnsi="Arial" w:cs="Arial"/>
          <w:i/>
          <w:sz w:val="22"/>
          <w:szCs w:val="22"/>
        </w:rPr>
        <w:t>Education (Queensland College of Teachers) Act 2005.</w:t>
      </w:r>
    </w:p>
    <w:p w:rsidR="002F7798" w:rsidRPr="007D11A8" w:rsidRDefault="002F7798" w:rsidP="004536C8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The functions of the Queensland College of Teachers</w:t>
      </w:r>
      <w:r w:rsidR="006364F1" w:rsidRPr="007D11A8">
        <w:rPr>
          <w:rFonts w:ascii="Arial" w:hAnsi="Arial" w:cs="Arial"/>
          <w:sz w:val="22"/>
          <w:szCs w:val="22"/>
        </w:rPr>
        <w:t>,</w:t>
      </w:r>
      <w:r w:rsidRPr="007D11A8">
        <w:rPr>
          <w:rFonts w:ascii="Arial" w:hAnsi="Arial" w:cs="Arial"/>
          <w:sz w:val="22"/>
          <w:szCs w:val="22"/>
        </w:rPr>
        <w:t xml:space="preserve"> as prescribed by chapter 10, part 1 of the </w:t>
      </w:r>
      <w:r w:rsidRPr="007D11A8">
        <w:rPr>
          <w:rFonts w:ascii="Arial" w:hAnsi="Arial" w:cs="Arial"/>
          <w:i/>
          <w:sz w:val="22"/>
          <w:szCs w:val="22"/>
        </w:rPr>
        <w:t>Education (Queensland</w:t>
      </w:r>
      <w:r w:rsidR="007F223D" w:rsidRPr="007D11A8">
        <w:rPr>
          <w:rFonts w:ascii="Arial" w:hAnsi="Arial" w:cs="Arial"/>
          <w:i/>
          <w:sz w:val="22"/>
          <w:szCs w:val="22"/>
        </w:rPr>
        <w:t xml:space="preserve"> </w:t>
      </w:r>
      <w:r w:rsidRPr="007D11A8">
        <w:rPr>
          <w:rFonts w:ascii="Arial" w:hAnsi="Arial" w:cs="Arial"/>
          <w:i/>
          <w:sz w:val="22"/>
          <w:szCs w:val="22"/>
        </w:rPr>
        <w:t>College of Teachers) Act 2005</w:t>
      </w:r>
      <w:r w:rsidR="006364F1" w:rsidRPr="007D11A8">
        <w:rPr>
          <w:rFonts w:ascii="Arial" w:hAnsi="Arial" w:cs="Arial"/>
          <w:sz w:val="22"/>
          <w:szCs w:val="22"/>
        </w:rPr>
        <w:t>,</w:t>
      </w:r>
      <w:r w:rsidRPr="007D11A8">
        <w:rPr>
          <w:rFonts w:ascii="Arial" w:hAnsi="Arial" w:cs="Arial"/>
          <w:i/>
          <w:sz w:val="22"/>
          <w:szCs w:val="22"/>
        </w:rPr>
        <w:t xml:space="preserve"> </w:t>
      </w:r>
      <w:r w:rsidRPr="007D11A8">
        <w:rPr>
          <w:rFonts w:ascii="Arial" w:hAnsi="Arial" w:cs="Arial"/>
          <w:sz w:val="22"/>
          <w:szCs w:val="22"/>
        </w:rPr>
        <w:t>include: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testing applicants for teacher registration;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granting registration or permission to teach;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initial and ongoing eligibility requirements for registration and permission to teach;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deciding applications for registration or permission to teach and applications for renewal of registration or permission to teach;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ensuring approved teachers continue to meet eligibility requirements;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arranging checks of the police information of approved teachers and applicants for registration or permission to teach;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reviewing registration of teachers, and the granting of permission to teach to teachers;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reporting, and making recommendations, to the Minister about reviews;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approving and monitoring preservice teacher education programs for provisional registration;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developing and applying professional standards for the teaching profession;</w:t>
      </w:r>
    </w:p>
    <w:p w:rsidR="002F7798" w:rsidRPr="007D11A8" w:rsidRDefault="002F7798" w:rsidP="004536C8">
      <w:pPr>
        <w:keepLines/>
        <w:numPr>
          <w:ilvl w:val="0"/>
          <w:numId w:val="5"/>
        </w:numPr>
        <w:tabs>
          <w:tab w:val="clear" w:pos="180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disciplining approved and former approved teachers and enforcing the Act; and</w:t>
      </w:r>
    </w:p>
    <w:p w:rsidR="002F7798" w:rsidRPr="007D11A8" w:rsidRDefault="002F7798" w:rsidP="004536C8">
      <w:pPr>
        <w:numPr>
          <w:ilvl w:val="1"/>
          <w:numId w:val="4"/>
        </w:numPr>
        <w:tabs>
          <w:tab w:val="clear" w:pos="1440"/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</w:rPr>
        <w:t>keeping a register of, and records relating to, approved teachers.</w:t>
      </w:r>
    </w:p>
    <w:p w:rsidR="002F7798" w:rsidRPr="007D11A8" w:rsidRDefault="002F7798" w:rsidP="004536C8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Arial" w:hAnsi="Arial" w:cs="Arial"/>
          <w:sz w:val="22"/>
          <w:szCs w:val="22"/>
        </w:rPr>
      </w:pPr>
      <w:r w:rsidRPr="007D11A8">
        <w:rPr>
          <w:rFonts w:ascii="Arial" w:hAnsi="Arial" w:cs="Arial"/>
          <w:sz w:val="22"/>
          <w:szCs w:val="22"/>
          <w:u w:val="single"/>
        </w:rPr>
        <w:t>Cabinet noted</w:t>
      </w:r>
      <w:r w:rsidRPr="007D11A8">
        <w:rPr>
          <w:rFonts w:ascii="Arial" w:hAnsi="Arial" w:cs="Arial"/>
          <w:sz w:val="22"/>
          <w:szCs w:val="22"/>
        </w:rPr>
        <w:t xml:space="preserve"> the intention of the Minister for Education, Training and Employment to recommend to the Governor in Council the appointment of</w:t>
      </w:r>
      <w:r w:rsidR="00F56E3C" w:rsidRPr="007D11A8">
        <w:rPr>
          <w:rFonts w:ascii="Arial" w:hAnsi="Arial" w:cs="Arial"/>
          <w:sz w:val="22"/>
          <w:szCs w:val="22"/>
        </w:rPr>
        <w:t xml:space="preserve"> </w:t>
      </w:r>
      <w:r w:rsidR="004536C8">
        <w:rPr>
          <w:rFonts w:ascii="Arial" w:hAnsi="Arial" w:cs="Arial"/>
          <w:sz w:val="22"/>
          <w:szCs w:val="22"/>
        </w:rPr>
        <w:t>Mrs </w:t>
      </w:r>
      <w:r w:rsidRPr="007D11A8">
        <w:rPr>
          <w:rFonts w:ascii="Arial" w:hAnsi="Arial" w:cs="Arial"/>
          <w:sz w:val="22"/>
          <w:szCs w:val="22"/>
        </w:rPr>
        <w:t>Margaret Leary</w:t>
      </w:r>
      <w:r w:rsidR="007F223D" w:rsidRPr="007D11A8">
        <w:rPr>
          <w:rFonts w:ascii="Arial" w:hAnsi="Arial" w:cs="Arial"/>
          <w:sz w:val="22"/>
          <w:szCs w:val="22"/>
        </w:rPr>
        <w:t xml:space="preserve"> </w:t>
      </w:r>
      <w:r w:rsidRPr="007D11A8">
        <w:rPr>
          <w:rFonts w:ascii="Arial" w:hAnsi="Arial" w:cs="Arial"/>
          <w:sz w:val="22"/>
          <w:szCs w:val="22"/>
        </w:rPr>
        <w:t xml:space="preserve">to the </w:t>
      </w:r>
      <w:r w:rsidR="007F223D" w:rsidRPr="007D11A8">
        <w:rPr>
          <w:rFonts w:ascii="Arial" w:hAnsi="Arial" w:cs="Arial"/>
          <w:sz w:val="22"/>
          <w:szCs w:val="22"/>
        </w:rPr>
        <w:t xml:space="preserve">Board of the </w:t>
      </w:r>
      <w:r w:rsidRPr="007D11A8">
        <w:rPr>
          <w:rFonts w:ascii="Arial" w:hAnsi="Arial" w:cs="Arial"/>
          <w:sz w:val="22"/>
          <w:szCs w:val="22"/>
        </w:rPr>
        <w:t xml:space="preserve">Queensland College of Teachers for a term from the date of Governor in Council approval up to and including </w:t>
      </w:r>
      <w:r w:rsidR="004536C8">
        <w:rPr>
          <w:rFonts w:ascii="Arial" w:hAnsi="Arial" w:cs="Arial"/>
          <w:sz w:val="22"/>
          <w:szCs w:val="22"/>
        </w:rPr>
        <w:t>31 </w:t>
      </w:r>
      <w:r w:rsidRPr="007D11A8">
        <w:rPr>
          <w:rFonts w:ascii="Arial" w:hAnsi="Arial" w:cs="Arial"/>
          <w:sz w:val="22"/>
          <w:szCs w:val="22"/>
        </w:rPr>
        <w:t xml:space="preserve">December 2014. </w:t>
      </w:r>
    </w:p>
    <w:p w:rsidR="002F7798" w:rsidRPr="00C53B88" w:rsidRDefault="002F7798">
      <w:pPr>
        <w:rPr>
          <w:rFonts w:ascii="Arial" w:hAnsi="Arial" w:cs="Arial"/>
          <w:sz w:val="22"/>
          <w:szCs w:val="22"/>
        </w:rPr>
      </w:pPr>
    </w:p>
    <w:sectPr w:rsidR="002F7798" w:rsidRPr="00C53B88" w:rsidSect="0091395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A1" w:rsidRDefault="000A1AA1">
      <w:r>
        <w:separator/>
      </w:r>
    </w:p>
  </w:endnote>
  <w:endnote w:type="continuationSeparator" w:id="0">
    <w:p w:rsidR="000A1AA1" w:rsidRDefault="000A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A1" w:rsidRDefault="000A1AA1">
      <w:r>
        <w:separator/>
      </w:r>
    </w:p>
  </w:footnote>
  <w:footnote w:type="continuationSeparator" w:id="0">
    <w:p w:rsidR="000A1AA1" w:rsidRDefault="000A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38" w:rsidRPr="00D75134" w:rsidRDefault="00A84738" w:rsidP="001F090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A84738" w:rsidRPr="00D75134" w:rsidRDefault="00A84738" w:rsidP="001F090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84738" w:rsidRPr="001E209B" w:rsidRDefault="00A84738" w:rsidP="001F090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September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A84738" w:rsidRDefault="00A84738" w:rsidP="001F090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and remuneration of one member to the Board of the Queensland College of Teachers</w:t>
    </w:r>
  </w:p>
  <w:p w:rsidR="00A84738" w:rsidRDefault="00A84738" w:rsidP="001F090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A84738" w:rsidRPr="00C53B88" w:rsidRDefault="00A84738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DF7"/>
    <w:multiLevelType w:val="hybridMultilevel"/>
    <w:tmpl w:val="F7424C4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3A12"/>
    <w:multiLevelType w:val="hybridMultilevel"/>
    <w:tmpl w:val="71CAD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CF209F38"/>
    <w:lvl w:ilvl="0" w:tplc="5592226E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D5E7370"/>
    <w:multiLevelType w:val="hybridMultilevel"/>
    <w:tmpl w:val="3A4E0E38"/>
    <w:lvl w:ilvl="0" w:tplc="F9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896DAC"/>
    <w:multiLevelType w:val="hybridMultilevel"/>
    <w:tmpl w:val="3D821DC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99E6B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8"/>
    <w:rsid w:val="000400F9"/>
    <w:rsid w:val="000A1AA1"/>
    <w:rsid w:val="00103F00"/>
    <w:rsid w:val="00147C53"/>
    <w:rsid w:val="00151BEC"/>
    <w:rsid w:val="00160262"/>
    <w:rsid w:val="001A6EFC"/>
    <w:rsid w:val="001B3526"/>
    <w:rsid w:val="001F090C"/>
    <w:rsid w:val="00226CF9"/>
    <w:rsid w:val="00234F0D"/>
    <w:rsid w:val="002F7798"/>
    <w:rsid w:val="00302B20"/>
    <w:rsid w:val="00303926"/>
    <w:rsid w:val="00327DDC"/>
    <w:rsid w:val="00396E5A"/>
    <w:rsid w:val="003B3504"/>
    <w:rsid w:val="003F4817"/>
    <w:rsid w:val="004536C8"/>
    <w:rsid w:val="004E065B"/>
    <w:rsid w:val="00506FC3"/>
    <w:rsid w:val="005C7A62"/>
    <w:rsid w:val="006364F1"/>
    <w:rsid w:val="00673543"/>
    <w:rsid w:val="006877B4"/>
    <w:rsid w:val="006D07B6"/>
    <w:rsid w:val="006F19ED"/>
    <w:rsid w:val="007D11A8"/>
    <w:rsid w:val="007F223D"/>
    <w:rsid w:val="00812AC4"/>
    <w:rsid w:val="00821F5E"/>
    <w:rsid w:val="008E6158"/>
    <w:rsid w:val="0091395E"/>
    <w:rsid w:val="009252BC"/>
    <w:rsid w:val="00931C47"/>
    <w:rsid w:val="00957A26"/>
    <w:rsid w:val="009C0F5F"/>
    <w:rsid w:val="00A84738"/>
    <w:rsid w:val="00BC1B73"/>
    <w:rsid w:val="00C1568F"/>
    <w:rsid w:val="00C53B88"/>
    <w:rsid w:val="00CA6EDC"/>
    <w:rsid w:val="00D01664"/>
    <w:rsid w:val="00E10583"/>
    <w:rsid w:val="00E1351B"/>
    <w:rsid w:val="00EE7269"/>
    <w:rsid w:val="00F51D41"/>
    <w:rsid w:val="00F56E3C"/>
    <w:rsid w:val="00FA61C8"/>
    <w:rsid w:val="00F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5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3B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B8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FC177E"/>
    <w:pPr>
      <w:ind w:left="720"/>
    </w:pPr>
    <w:rPr>
      <w:color w:val="000000"/>
      <w:szCs w:val="20"/>
      <w:lang w:eastAsia="en-AU"/>
    </w:rPr>
  </w:style>
  <w:style w:type="paragraph" w:styleId="BalloonText">
    <w:name w:val="Balloon Text"/>
    <w:basedOn w:val="Normal"/>
    <w:semiHidden/>
    <w:rsid w:val="006D07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1F090C"/>
    <w:rPr>
      <w:rFonts w:eastAsia="SimSun"/>
      <w:sz w:val="24"/>
      <w:szCs w:val="24"/>
      <w:lang w:val="en-A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1583</CharactersWithSpaces>
  <SharedDoc>false</SharedDoc>
  <HyperlinkBase>https://www.cabinet.qld.gov.au/documents/2012/Sep/Appt Board Qld College Teachers/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2012-11-01T01:32:00Z</cp:lastPrinted>
  <dcterms:created xsi:type="dcterms:W3CDTF">2017-10-24T23:21:00Z</dcterms:created>
  <dcterms:modified xsi:type="dcterms:W3CDTF">2018-03-06T01:15:00Z</dcterms:modified>
  <cp:category>Significant_Appointments,Education</cp:category>
</cp:coreProperties>
</file>